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69 vom 14. Februar 1991</w:t>
      </w:r>
    </w:p>
    <w:p>
      <w:r>
        <w:t>Bundesgericht (BGE), 1991-02-14, DE</w:t>
      </w:r>
    </w:p>
    <w:p>
      <w:r>
        <w:rPr>
          <w:b/>
        </w:rPr>
        <w:t xml:space="preserve">Quelle: </w:t>
      </w:r>
      <w:r>
        <w:t>https://mcp.opencaselaw.ch/entscheid/bge_117 IA 69</w:t>
      </w:r>
    </w:p>
    <w:p>
      <w:r>
        <w:t>FR: BGE 117 IA 69 du 14 février 1991</w:t>
      </w:r>
    </w:p>
    <w:p>
      <w:r>
        <w:t>IT: BGE 117 IA 69 del 14 febbraio 1991</w:t>
      </w:r>
    </w:p>
    <w:p>
      <w:pPr>
        <w:pStyle w:val="Heading2"/>
      </w:pPr>
      <w:r>
        <w:t>Regeste</w:t>
      </w:r>
    </w:p>
    <w:p>
      <w:r>
        <w:t>Regeste Persönliche Freiheit; Art. 5 Ziff. 1 EMRK. Haftentlassung. Fluchtgefahr. Die Höhe der zu erwartenden Strafe vermag für sich allein den besonderen Haftgrund der Fluchtgefahr nicht zu rechtfertigen. Im vorliegenden Fall genügen die psychische Labilität der Angeklagten und die zu erwartende Strafe für die Aufrechterhaltung der Sicherheitshaft nicht.</w:t>
      </w:r>
    </w:p>
    <w:p>
      <w:pPr>
        <w:pStyle w:val="Heading2"/>
      </w:pPr>
      <w:r>
        <w:t>Erwägungen</w:t>
      </w:r>
    </w:p>
    <w:p>
      <w:r>
        <w:rPr>
          <w:b/>
        </w:rPr>
        <w:t>E. 4</w:t>
      </w:r>
    </w:p>
    <w:p>
      <w:r>
        <w:t>Gemäss § 49 in Verbindung mit § 52 der zürcherischen Strafprozessordnung darf Sicherheitshaft angeordnet oder aufrechterhalten werden, wenn der Angeklagte eines Verbrechens oder Vergehens dringend verdächtig ist und überdies entweder Kollusions- oder Fluchtgefahr vorliegt. Die Beschwerdeführerin beanstandet nicht, dass die kantonale Instanz den dringenden Tatverdacht bejaht hat. Hingegen macht sie geltend, das Obergericht habe in verfassungs- und konventionswidriger Weise angenommen, es bestehe Fluchtgefahr. a) Nach der Rechtsprechung des Bundesgerichtes, die mit jener des Europäischen Gerichtshofes für Menschenrechte übereinstimmt, braucht es für die Annahme der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Angeschuldigten, in Betracht gezogen werden ( BGE 108 Ia 67 E. 3; BGE 107 Ia 6 E. 5; BGE 106 Ia 407 E. 4c; BGE 102 Ia 381 ; BGE 95 I 242 ). Die Erwägung des Obergerichtes, wonach die vorliegend mögliche Zuchthausstrafe von nicht unter fünf Jahren ( Art. 111 StGB ) "an sich schon" die Annahme der Fluchtgefahr rechtfertige, widerspricht krass der erwähnten Bundesgerichtspraxis und ist als verfassungswidrig zu beurteilen. BGE 117 Ia 69 S. 71 b) Es fragt sich, ob ausser der Höhe der drohenden Strafe konkrete Umstände vorliegen, welche die Annahme der Fluchtgefahr rechtfertigen. Das Gutachten der Kantonalen Psychiatrischen Klinik Rheinau vom 24. Oktober 1990 attestiert der Beschwerdeführerin eine erhebliche Neigung zu Affekt- und Impulsdurchbrüchen aggressiver und autoaggressiver Art. Mit Recht kann daher von einer zumindest latenten psychischen Labilität der Beschwerdeführerin gesprochen werden. - Das psychiatrische Gutachten lässt demgegenüber den Schluss nicht zu, die festgestellte psychische Konstitution wirke sich im vorliegenden Fall in einer erhöhten Fluchtbereitschaft aus: Der Experte weist besonders darauf hin, dass sich die Neigung zu affektiven und impulsiven Handlungen dann manifestiere, wenn eine soziale Bindung zerreisst oder zu zerreissen droht. Die Beschwerdeführerin engagiere sich in ihren familiären Beziehungen mit derartiger Hilfs- und Aufopferungsbereitschaft, dass Trennungs- und Verlassungserlebnisse zwangsweise eine Flut von Emotionen, Affekten und Triebstrebungen nach sich zögen. Gerade mit ihren beiden (zehn- bzw. dreizehnjährigen) Kindern verbindet die Beschwerdeführerin auf Grund der aktenkundigen Untersuchungsergebnisse eine innige Beziehung, welche von grossem Einsatz und von Fürsorge, nicht zuletzt gegenüber der POS-kranken Tochter X., zeugt. Besonders die Zuwendung zu ihren Kindern hilft der Beschwerdeführerin gemäss Expertise, im seelischen Gleichgewicht zu bleiben. Damit erscheint der psychiatrische Befund aber gerade nicht geeignet, zusätzliche konkrete Anzeichen für eine Fluchtgefahr zu begründen. - Es weist gerade nichts darauf hin, dass die Beschwerdeführerin, einmal aus der Sicherheitshaft entlassen, sich ausgerechnet die Möglichkeit verbauen sollte, den Kontakt mit ihren bei ihrer Schwester untergebrachten Kindern pflegen zu können; genau dies wäre aber die Konsequenz einer Flucht der Beschwerdeführerin ins Ausland oder auch nur eines "Untertauchens", wie es die kantonale Instanz befürchtet. Aus dem Gesagten ergibt sich, dass die angeordnete Sicherheitshaft allein gestützt auf die Höhe der in Frage kommenden Freiheitsstrafe nicht aufrechterhalten werden kann. Wie die kantonale Instanz ausdrücklich festgehalten hat, liegt nach Abschluss der Untersuchung und Anklageerhebung sowie angesichts der Geständigkeit der Beschwerdeführerin ebensowenig Kollusionsgefahr vor. Diese Auffassung muss zwar angesichts des im Verfahren vor Geschworenengericht geltenden Unmittelbarkeitsprinzips und der BGE 117 Ia 69 S. 72 damit verbundenen Gefahr einer Einflussnahme auf die Geschworenen auf gewisse Bedenken stossen, das Bundesgericht hat indessen keine Veranlassung, vorliegend entgegen der Auffassung beider Parteien von sich aus auf Kollusionsgefahr zu schliessen (vgl. zur bundesgerichtlichen Zurückhaltung bei der Substitution von Motiven etwa BGE 106 Ia 315 E. 1b). In der Konsequenz gebietet das Verfassungsrecht in diesem speziellen Haftfall, der durchaus als Grenzfall zu betrachten ist, die Beschwerdeführerin aus der Sicherheitshaft zu entlassen und dem Fluchtrisiko mit weniger einschneidenden Massnahmen (Meldepflicht, Pass- und Schriftensperre) zu begegnen.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